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PT Astra Serif" w:hAnsi="PT Astra Serif"/>
        </w:rPr>
      </w:pPr>
      <w:r>
        <w:rPr>
          <w:rFonts w:cs="Times New Roman" w:ascii="PT Astra Serif" w:hAnsi="PT Astra Serif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jc w:val="center"/>
        <w:rPr>
          <w:rFonts w:ascii="PT Astra Serif" w:hAnsi="PT Astra Serif"/>
        </w:rPr>
      </w:pPr>
      <w:r>
        <w:rPr>
          <w:rFonts w:cs="Times New Roman" w:ascii="PT Astra Serif" w:hAnsi="PT Astra Serif"/>
          <w:b/>
          <w:bCs/>
          <w:sz w:val="28"/>
          <w:szCs w:val="28"/>
        </w:rPr>
        <w:t>обобщения и анализа практики осуществления Управлением Росгвардии по Кемеровской области — Кузбассу федерального государственного контроля (надзора) за обеспечением безопасности объектов топливно-энергетического комплекса за первое полугодие 202</w:t>
      </w:r>
      <w:r>
        <w:rPr>
          <w:rFonts w:cs="Times New Roman" w:ascii="PT Astra Serif" w:hAnsi="PT Astra Serif"/>
          <w:b/>
          <w:bCs/>
          <w:sz w:val="28"/>
          <w:szCs w:val="28"/>
        </w:rPr>
        <w:t>5</w:t>
      </w:r>
      <w:r>
        <w:rPr>
          <w:rFonts w:cs="Times New Roman" w:ascii="PT Astra Serif" w:hAnsi="PT Astra Serif"/>
          <w:b/>
          <w:bCs/>
          <w:sz w:val="28"/>
          <w:szCs w:val="28"/>
        </w:rPr>
        <w:t xml:space="preserve"> год</w:t>
      </w:r>
      <w:r>
        <w:rPr>
          <w:rFonts w:cs="Times New Roman" w:ascii="PT Astra Serif" w:hAnsi="PT Astra Serif"/>
          <w:b/>
          <w:bCs/>
          <w:sz w:val="28"/>
          <w:szCs w:val="28"/>
        </w:rPr>
        <w:t>а</w:t>
      </w:r>
      <w:r>
        <w:rPr>
          <w:rFonts w:cs="Times New Roman" w:ascii="PT Astra Serif" w:hAnsi="PT Astra Serif"/>
          <w:b/>
          <w:bCs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 w:cs="Times New Roman"/>
          <w:color w:val="000000"/>
          <w:sz w:val="28"/>
          <w:szCs w:val="28"/>
        </w:rPr>
      </w:pPr>
      <w:r>
        <w:rPr>
          <w:rFonts w:cs="Times New Roman" w:ascii="PT Astra Serif" w:hAnsi="PT Astra Serif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rFonts w:cs="Times New Roman" w:ascii="PT Astra Serif" w:hAnsi="PT Astra Serif"/>
          <w:color w:val="000000"/>
          <w:sz w:val="28"/>
          <w:szCs w:val="28"/>
        </w:rPr>
        <w:t>В соответствии с Планом проведения Управлением Росгвардией по Кемеровской области — Кузбассу плановых проверок объектов ТЭК на 202</w:t>
      </w:r>
      <w:r>
        <w:rPr>
          <w:rFonts w:cs="Times New Roman" w:ascii="PT Astra Serif" w:hAnsi="PT Astra Serif"/>
          <w:color w:val="000000"/>
          <w:sz w:val="28"/>
          <w:szCs w:val="28"/>
        </w:rPr>
        <w:t>5</w:t>
      </w:r>
      <w:r>
        <w:rPr>
          <w:rFonts w:cs="Times New Roman" w:ascii="PT Astra Serif" w:hAnsi="PT Astra Serif"/>
          <w:color w:val="000000"/>
          <w:sz w:val="28"/>
          <w:szCs w:val="28"/>
        </w:rPr>
        <w:t xml:space="preserve"> год должностными лицами отдела государственного контроля Управления Росгвардии по Кемеровской области – Кузбассу</w:t>
      </w:r>
      <w:r>
        <w:rPr>
          <w:rFonts w:eastAsia="Calibri" w:cs="Times New Roman" w:ascii="PT Astra Serif" w:hAnsi="PT Astra Serif" w:eastAsiaTheme="minorHAnsi"/>
          <w:color w:val="000000"/>
          <w:kern w:val="0"/>
          <w:sz w:val="28"/>
          <w:szCs w:val="28"/>
          <w:lang w:val="ru-RU" w:eastAsia="en-US" w:bidi="ar-SA"/>
        </w:rPr>
        <w:t xml:space="preserve">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в первом полугодии 2025 года проведены 54 плановые выездные проверки, из них 35 объектов ТЭК низкой категории и 19 объектов ТЭК средней категории,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что составило 100% от запланированных проверок на 1 полугодие 2025 года. </w:t>
      </w:r>
    </w:p>
    <w:p>
      <w:pPr>
        <w:pStyle w:val="Normal"/>
        <w:spacing w:lineRule="auto" w:line="240" w:before="0" w:after="0"/>
        <w:ind w:firstLine="720"/>
        <w:jc w:val="both"/>
        <w:rPr>
          <w:color w:val="000000"/>
        </w:rPr>
      </w:pPr>
      <w:r>
        <w:rPr>
          <w:rFonts w:eastAsia="Calibri" w:cs="Times New Roman" w:ascii="PT Astra Serif" w:hAnsi="PT Astra Serif" w:eastAsiaTheme="minorHAnsi"/>
          <w:color w:val="000000"/>
          <w:kern w:val="0"/>
          <w:sz w:val="28"/>
          <w:szCs w:val="28"/>
          <w:lang w:val="ru-RU" w:eastAsia="en-US" w:bidi="ar-SA"/>
        </w:rPr>
        <w:t xml:space="preserve">По результатам проведённых проверок </w:t>
      </w: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  <w:t xml:space="preserve">субъектам ТЭК выдано 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>50</w:t>
      </w: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  <w:t xml:space="preserve"> предписани</w:t>
      </w: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  <w:t>й</w:t>
      </w: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  <w:t xml:space="preserve"> об устранении 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>708</w:t>
      </w: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  <w:t xml:space="preserve"> выявленных нарушений.</w:t>
      </w:r>
    </w:p>
    <w:p>
      <w:pPr>
        <w:pStyle w:val="Normal"/>
        <w:spacing w:lineRule="auto" w:line="240" w:before="0" w:after="0"/>
        <w:ind w:firstLine="720"/>
        <w:jc w:val="both"/>
        <w:rPr>
          <w:color w:val="000000"/>
        </w:rPr>
      </w:pP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>За нарушение требований обеспечения безопасности объектов ТЭК к</w:t>
      </w: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  <w:t xml:space="preserve"> административной ответственности привлечено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 xml:space="preserve"> 50 юридических лиц и 26 должностных лиц по части 1 и ч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 xml:space="preserve">асти 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>2 ст. 20.30 КоАП  РФ.</w:t>
      </w:r>
    </w:p>
    <w:p>
      <w:pPr>
        <w:pStyle w:val="Normal"/>
        <w:spacing w:lineRule="auto" w:line="240" w:before="0" w:after="0"/>
        <w:ind w:firstLine="720"/>
        <w:jc w:val="both"/>
        <w:rPr/>
      </w:pPr>
      <w:r>
        <w:rPr>
          <w:rFonts w:eastAsia="Calibri" w:cs="Times New Roman" w:ascii="PT Astra Serif" w:hAnsi="PT Astra Serif" w:eastAsiaTheme="minorHAnsi"/>
          <w:color w:val="000000"/>
          <w:kern w:val="0"/>
          <w:sz w:val="28"/>
          <w:szCs w:val="28"/>
          <w:lang w:val="ru-RU" w:eastAsia="en-US" w:bidi="ar-SA"/>
        </w:rPr>
        <w:t xml:space="preserve">В числе наиболее часто встречающихся нарушений обязательных требований, следует выделить нарушения </w:t>
      </w:r>
      <w:r>
        <w:rPr>
          <w:rFonts w:eastAsia="Calibri" w:cs="Times New Roman" w:ascii="PT Astra Serif" w:hAnsi="PT Astra Serif" w:eastAsiaTheme="minorHAnsi"/>
          <w:color w:val="000000"/>
          <w:kern w:val="0"/>
          <w:sz w:val="28"/>
          <w:szCs w:val="28"/>
          <w:lang w:val="ru-RU" w:eastAsia="en-US" w:bidi="ar-SA"/>
        </w:rPr>
        <w:t>по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 построению физической защиты объекта — 34 нарушения;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по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 инженерно-техническим средствам охраны — 637 нарушений; а также факты отсутствия или необходимости актуализации паспортов безопасности объектов ТЭК в рамках законодательства и технической проектной документации по оборудованию средств защиты и охраны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и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ины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х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 требований, установленных в сфере обеспечения безопасности объектов ТЭК — 37 нарушений. </w:t>
      </w:r>
      <w:r>
        <w:rPr>
          <w:rFonts w:eastAsia="Calibri" w:cs="Times New Roman" w:ascii="PT Astra Serif" w:hAnsi="PT Astra Serif" w:eastAsiaTheme="minorHAnsi"/>
          <w:color w:val="000000"/>
          <w:kern w:val="0"/>
          <w:sz w:val="28"/>
          <w:szCs w:val="28"/>
          <w:lang w:val="ru-RU" w:eastAsia="en-US" w:bidi="ar-SA"/>
        </w:rPr>
        <w:t xml:space="preserve">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Судебными органами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по 50 составленным пр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отокол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ам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принято решение о назначении административного наказания в виде штрафов в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сумме 1960 тыс.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 рублей. </w:t>
      </w:r>
    </w:p>
    <w:p>
      <w:pPr>
        <w:pStyle w:val="Normal"/>
        <w:spacing w:lineRule="auto" w:line="240" w:before="0" w:after="0"/>
        <w:ind w:firstLine="720"/>
        <w:jc w:val="both"/>
        <w:rPr/>
      </w:pP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По истечению ранее выданных предписаний проведено 56 внеплановых проверок, в ходе которых установлено, что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выданные предписания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руководителями предприятий в установленный срок (до 1 года) в целом не выполняются, в связи недостаточным финансированием для требуемых мероприятий или поэтапным планированием монтажных работ с подготовкой проектно-технической документации.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/>
      </w:pP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В виду вступления в силу новых требований,  утвержденных постановлением Правительства РФ от 03 августа 2024 года №1046дсп, внеплановые проверки на 49 объектах ТЭК не проводились («предписания считаются исполненными»), в связи с этим составлены только акты проверок без привлечения к административной ответственности, из них на 30 объектах один из пунктов Предписания исполнен (построение физической защиты объекта или актуализация паспорта безопасности).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/>
      </w:pP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На 7 объектах ТЭК установлены факты о неисполнении предписаний. Общее количество нарушений обязательных Требований, не устраненных субъектами ТЭК — 45, из них к построению физической защиты объекта — 3;  к инженерно-техническим средствам охраны — 38; иных требований, установленных в сфере обеспечения безопасности объектов ТЭК — 4.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/>
      </w:pP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За неисполнение ранее выданных предписаний должностными лицами Росгвардии в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первом полугодии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2025 год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а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 привлечено к административной ответственности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по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стать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е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 19.5 КоАП РФ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(повторное неисполнение предписания)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 7 юридических лиц и 6 должностных лиц.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>
          <w:color w:val="000000"/>
        </w:rPr>
      </w:pPr>
      <w:r>
        <w:rPr>
          <w:rFonts w:eastAsia="Calibri" w:cs="Times New Roman" w:ascii="PT Astra Serif" w:hAnsi="PT Astra Serif"/>
          <w:color w:val="000000"/>
          <w:sz w:val="28"/>
          <w:szCs w:val="28"/>
        </w:rPr>
        <w:t>Основной формой проведения внеплановых и плановых проверок  за прошедший период 2024 года были выездные проверки (100% от общего количества проведенных проверок). Результаты проведенных проверок по контролю за обеспечением безопасности объектов ТЭК отражены в актах установленного образца.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/>
      </w:pP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В качестве положительного примера следует отметить, что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4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 объект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>а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en-US" w:bidi="ar-SA"/>
        </w:rPr>
        <w:t xml:space="preserve"> ТЭК в сфере энергетики, угольной и нефтегазовой промышленности, которые разработали и реализовали проекты по усилению инженерно-техническими средствами охраны, полностью соответствуют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Требованиям обеспечения безопасности и антитеррористической защищенности объектов ТЭК, утвержденных постановлением Правительства РФ от 03 августа 2024 года №1046дсп</w:t>
      </w:r>
      <w:r>
        <w:rPr>
          <w:rStyle w:val="Style14"/>
          <w:rStyle w:val="Style16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footnoteReference w:id="2"/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/>
          <w:iCs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(Гурьевская нефтебаза ООО «Газпромнефть Терминал»,  ООО «Шахта Антоновская», ООО «ОФ «Антоновская», котельная АО «Каскад-Энерго»).</w:t>
        <w:tab/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/>
      </w:pP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Согласно проведенного анализа объектами ТЭК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 осуществляются поэтапные работы по проектированию, строительные или монтажные работы по повышению защищенности собственных объектов, выполнено более 3,5 тыс. мероприятий или 34 % от общего количества выявленных ранее нарушений. Реш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аются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 вопрос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ы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 по охране объектов ТЭК,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так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практически все предприятия, за исключением отопительных котельных, охраняются лицензированными работниками частных охранных организаций, имеющих в своем распоряжении гражданское и служебное оружие. Руководителями предприятий ТЭК на основании выданных предписаний заключено более 140 договоров на разработку проектной документации с целью выполнения работ по оборудованию инженерно-технических средств охраны, из них на более 80 объектах подрядные организации приступили к исполнению работ по приведению безопасности объектов к предъявляемым требованиям законодательства. 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/>
      </w:pP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В рамках выданных предписаний по устранению выявленных нарушений за прошедший период субъектами ТЭК проведена работа по обеспечению безопасности и антитеррористической защищенности собственных объектов ТЭК. Ограждение установлено на более 100 объектах, уже оборудованы контрольно-пропускные пункты на объектах ТЭК: автомобильные – 45, железнодорожные – 29 и на 60 предприятий установлены досмотровые площадки соответствующие требованиям законодательства. Периметральной охранной сигнализацией оборудованы 68 промышленных площадок, кнопками экстренного вызова полиции Росгвардии оборудованы на 70 объектах ТЭК, для организации и обработки информации с сигнализационных систем оборудовано 19 пунктов централизованной охраны. На 115 объектах ТЭК установлена и модернизирована охранная телевизионная система, на 60 объектах охранное освещение.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/>
      </w:pP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Управление Росгвардии по Кемеровской области — Кузбассу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на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постоянно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й основе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 информирует А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нтитеррористическ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ую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 комисси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ю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 Кемеровской области — Кузбасса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о состоянии антитеррористической защищенности объектов ТЭК. В рамках взаимодействия с прокуратурой области в отношении более 50 объектов ТЭК в органы судебной власти направлены исковые заявления о понуждении к совершению иско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вых действий в части обеспечения безопасности и антитеррористической защищенности. Судами исковые заявления удовлетворены в полном объеме.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/>
      </w:pP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В рамках требований постановлений Правительства РФ в связи с изменениями компонентов организации охраны и защиты объектов, изменении общей площади и периметра территории объекта и для определения эффективности системы физической защиты объекта, в том числе угроз от беспилотных летательных аппаратов и защиты, сотрудниками Росгвардии в составе межведомственной комиссии проведено  обследование на 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51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 объект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е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 xml:space="preserve"> ТЭК.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/>
      </w:pP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В качестве профилактических мер на постоянной основе руководством и личным составом сотрудников Росгвардии проводятся консультации и рабочие встречи по обращению субъектов ТЭК и их представителями по вопросам проектирования инженерно-технических средств охраны, категорирования, паспортизации и мероприятий по устранению ранее выявленных нарушений (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3</w:t>
      </w:r>
      <w:r>
        <w:rPr>
          <w:rStyle w:val="Style14"/>
          <w:rFonts w:eastAsia="Calibri" w:cs="Times New Roman" w:ascii="PT Astra Serif" w:hAnsi="PT Astra Serif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  <w:t>0 консультаций и рабочих встреч).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31" w:color="FFFFFF"/>
          <w:right w:val="single" w:sz="4" w:space="3" w:color="FFFFFF"/>
        </w:pBdr>
        <w:tabs>
          <w:tab w:val="clear" w:pos="388"/>
          <w:tab w:val="left" w:pos="-3402" w:leader="none"/>
        </w:tabs>
        <w:bidi w:val="0"/>
        <w:spacing w:lineRule="auto" w:line="240" w:before="0" w:after="0"/>
        <w:ind w:left="0" w:right="0" w:firstLine="624"/>
        <w:contextualSpacing/>
        <w:jc w:val="both"/>
        <w:rPr>
          <w:rFonts w:ascii="PT Astra Serif" w:hAnsi="PT Astra Serif" w:eastAsia="Calibri" w:cs="Times New Roman" w:eastAsiaTheme="minorHAnsi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</w:pPr>
      <w:r>
        <w:rPr>
          <w:rFonts w:eastAsia="Calibri" w:cs="Times New Roman" w:eastAsiaTheme="minorHAnsi" w:ascii="PT Astra Serif" w:hAnsi="PT Astra Serif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kern w:val="0"/>
          <w:sz w:val="28"/>
          <w:szCs w:val="28"/>
          <w:u w:val="none"/>
          <w:em w:val="none"/>
          <w:lang w:val="ru-RU" w:eastAsia="en-US" w:bidi="ar-SA"/>
        </w:rPr>
      </w:r>
    </w:p>
    <w:p>
      <w:pPr>
        <w:pStyle w:val="Normal"/>
        <w:tabs>
          <w:tab w:val="clear" w:pos="388"/>
          <w:tab w:val="left" w:pos="450" w:leader="none"/>
          <w:tab w:val="left" w:pos="851" w:leader="none"/>
        </w:tabs>
        <w:spacing w:lineRule="auto" w:line="240" w:before="0" w:after="0"/>
        <w:contextualSpacing/>
        <w:jc w:val="both"/>
        <w:rPr>
          <w:rFonts w:ascii="PT Astra Serif" w:hAnsi="PT Astra Serif" w:eastAsia="Calibri" w:cs="Times New Roman" w:eastAsiaTheme="minorHAnsi"/>
          <w:color w:val="000000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PT Astra Serif" w:hAnsi="PT Astra Serif"/>
          <w:color w:val="000000"/>
          <w:kern w:val="0"/>
          <w:sz w:val="28"/>
          <w:szCs w:val="28"/>
          <w:lang w:val="ru-RU" w:eastAsia="en-US" w:bidi="ar-SA"/>
        </w:rPr>
        <w:t>О</w:t>
      </w:r>
      <w:r>
        <w:rPr>
          <w:rFonts w:eastAsia="Calibri" w:cs="Times New Roman" w:eastAsiaTheme="minorHAnsi" w:ascii="PT Astra Serif" w:hAnsi="PT Astra Serif"/>
          <w:color w:val="000000"/>
          <w:kern w:val="0"/>
          <w:sz w:val="28"/>
          <w:szCs w:val="28"/>
          <w:lang w:val="ru-RU" w:eastAsia="en-US" w:bidi="ar-SA"/>
        </w:rPr>
        <w:t xml:space="preserve">тдел государственного контроля </w:t>
      </w:r>
    </w:p>
    <w:p>
      <w:pPr>
        <w:pStyle w:val="Normal"/>
        <w:tabs>
          <w:tab w:val="clear" w:pos="388"/>
          <w:tab w:val="left" w:pos="450" w:leader="none"/>
          <w:tab w:val="left" w:pos="851" w:leader="none"/>
        </w:tabs>
        <w:spacing w:lineRule="auto" w:line="240" w:before="0" w:after="0"/>
        <w:contextualSpacing/>
        <w:jc w:val="both"/>
        <w:rPr>
          <w:rFonts w:ascii="PT Astra Serif" w:hAnsi="PT Astra Serif" w:eastAsia="Calibri" w:cs="Times New Roman" w:eastAsiaTheme="minorHAnsi"/>
          <w:color w:val="000000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PT Astra Serif" w:hAnsi="PT Astra Serif"/>
          <w:color w:val="000000"/>
          <w:kern w:val="0"/>
          <w:sz w:val="28"/>
          <w:szCs w:val="28"/>
          <w:lang w:val="ru-RU" w:eastAsia="en-US" w:bidi="ar-SA"/>
        </w:rPr>
        <w:t>Управления Росгвардии по Кемеровской области -Кузбассу</w:t>
      </w:r>
    </w:p>
    <w:p>
      <w:pPr>
        <w:pStyle w:val="Normal"/>
        <w:tabs>
          <w:tab w:val="clear" w:pos="388"/>
          <w:tab w:val="left" w:pos="450" w:leader="none"/>
          <w:tab w:val="left" w:pos="851" w:leader="none"/>
        </w:tabs>
        <w:spacing w:lineRule="auto" w:line="240" w:before="0" w:after="0"/>
        <w:contextualSpacing/>
        <w:jc w:val="both"/>
        <w:rPr>
          <w:rFonts w:ascii="PT Astra Serif" w:hAnsi="PT Astra Serif" w:eastAsia="Calibri" w:cs="Times New Roman" w:eastAsiaTheme="minorHAnsi"/>
          <w:color w:val="000000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PT Astra Serif" w:hAnsi="PT Astra Serif"/>
          <w:color w:val="000000"/>
          <w:kern w:val="0"/>
          <w:sz w:val="28"/>
          <w:szCs w:val="28"/>
          <w:lang w:val="ru-RU" w:eastAsia="en-US" w:bidi="ar-SA"/>
        </w:rPr>
      </w:r>
    </w:p>
    <w:sectPr>
      <w:footnotePr>
        <w:numFmt w:val="decimal"/>
      </w:footnotePr>
      <w:type w:val="nextPage"/>
      <w:pgSz w:w="11906" w:h="16838"/>
      <w:pgMar w:left="1305" w:right="850" w:header="0" w:top="1134" w:footer="0" w:bottom="1019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4"/>
        <w:spacing w:before="0" w:after="200"/>
        <w:rPr>
          <w:rFonts w:ascii="PT Astra Serif" w:hAnsi="PT Astra Serif"/>
        </w:rPr>
      </w:pPr>
      <w:r>
        <w:rPr>
          <w:rStyle w:val="Style15"/>
        </w:rPr>
        <w:footnoteRef/>
      </w:r>
      <w:r>
        <w:rPr>
          <w:rFonts w:ascii="PT Astra Serif" w:hAnsi="PT Astra Serif"/>
        </w:rPr>
        <w:tab/>
        <w:t>Далее - «Требования»</w:t>
      </w:r>
    </w:p>
  </w:footnote>
</w:footnotes>
</file>

<file path=word/settings.xml><?xml version="1.0" encoding="utf-8"?>
<w:settings xmlns:w="http://schemas.openxmlformats.org/wordprocessingml/2006/main">
  <w:zoom w:percent="100"/>
  <w:defaultTabStop w:val="388"/>
  <w:autoHyphenation w:val="true"/>
  <w:footnotePr>
    <w:numFmt w:val="decimal"/>
    <w:footnote w:id="0"/>
    <w:footnote w:id="1"/>
  </w:footnotePr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Основной шрифт абзаца"/>
    <w:qFormat/>
    <w:rPr/>
  </w:style>
  <w:style w:type="character" w:styleId="Style15">
    <w:name w:val="Символ сноски"/>
    <w:qFormat/>
    <w:rPr/>
  </w:style>
  <w:style w:type="character" w:styleId="Style16">
    <w:name w:val="Привязка сноски"/>
    <w:rPr>
      <w:vertAlign w:val="superscript"/>
    </w:rPr>
  </w:style>
  <w:style w:type="character" w:styleId="Style17">
    <w:name w:val="Привязка концевой сноски"/>
    <w:rPr>
      <w:vertAlign w:val="superscript"/>
    </w:rPr>
  </w:style>
  <w:style w:type="character" w:styleId="Style18">
    <w:name w:val="Символ концевой сноски"/>
    <w:qFormat/>
    <w:rPr/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ascii="PT Astra Serif" w:hAnsi="PT Astra Serif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fd57d0"/>
    <w:pPr>
      <w:spacing w:lineRule="auto" w:line="288" w:beforeAutospacing="1" w:after="142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4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Application>LibreOffice/6.4.7.2$Linux_X86_64 LibreOffice_project/40$Build-2</Application>
  <Pages>3</Pages>
  <Words>857</Words>
  <Characters>6194</Characters>
  <CharactersWithSpaces>7061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2019-12-22T06:20:00Z</dcterms:created>
  <dc:creator>Полуэктов Алексей Александрович</dc:creator>
  <dc:description/>
  <dc:language>ru-RU</dc:language>
  <cp:lastModifiedBy/>
  <cp:lastPrinted>2020-12-10T09:09:37Z</cp:lastPrinted>
  <dcterms:modified xsi:type="dcterms:W3CDTF">2025-07-02T15:37:37Z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